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F2" w:rsidRDefault="00A10DF2" w:rsidP="00A10DF2">
      <w:pPr>
        <w:spacing w:after="87" w:line="259" w:lineRule="auto"/>
        <w:ind w:left="186" w:right="0" w:hanging="10"/>
        <w:jc w:val="left"/>
      </w:pPr>
      <w:r>
        <w:rPr>
          <w:b/>
        </w:rPr>
        <w:t xml:space="preserve">PHẦN 4 - HƯỚNG DẪN CÔNG TÁC TRUY VẾT NGƯỜI TIẾP XÚC VỚI </w:t>
      </w:r>
    </w:p>
    <w:p w:rsidR="00A10DF2" w:rsidRDefault="00A10DF2" w:rsidP="00A10DF2">
      <w:pPr>
        <w:spacing w:after="102" w:line="259" w:lineRule="auto"/>
        <w:ind w:left="51" w:right="0" w:hanging="10"/>
        <w:jc w:val="left"/>
      </w:pPr>
      <w:r>
        <w:rPr>
          <w:b/>
        </w:rPr>
        <w:t xml:space="preserve">NGƯỜI CÓ XÉT NGHIỆM COVID-19 DƯƠNG TÍNH THÔNG QUA CÔNG </w:t>
      </w:r>
    </w:p>
    <w:p w:rsidR="00A10DF2" w:rsidRDefault="00A10DF2" w:rsidP="00A10DF2">
      <w:pPr>
        <w:pStyle w:val="Heading6"/>
        <w:spacing w:after="171"/>
        <w:ind w:left="527" w:right="586"/>
      </w:pPr>
      <w:r>
        <w:t xml:space="preserve">CỤ BLUEZONE VÀ QR CODE </w:t>
      </w:r>
    </w:p>
    <w:p w:rsidR="00A10DF2" w:rsidRDefault="00A10DF2" w:rsidP="00A10DF2">
      <w:pPr>
        <w:spacing w:after="132"/>
        <w:ind w:left="0" w:right="177" w:firstLine="559"/>
      </w:pPr>
      <w:r>
        <w:t xml:space="preserve">Hệ thống truy vết Bluezone được xây dựng để để tìm kiếm những người dùng Bluezone đã từng tiếp xúc với người dùng Bluezone khác bị nhiễm hoặc nghi nhiễm COVID-19. Hệ thống này được sử dụng bởi các cơ quan y tế có thẩm quyền, CDC, tổ truy vết địa phương thực hiện truy vết khi có ca nhiễm hoặc nghi nhiễm trong cộng đồng. </w:t>
      </w:r>
    </w:p>
    <w:p w:rsidR="00A10DF2" w:rsidRDefault="00A10DF2" w:rsidP="00A10DF2">
      <w:pPr>
        <w:spacing w:after="218"/>
        <w:ind w:left="570" w:right="177" w:firstLine="0"/>
      </w:pPr>
      <w:r>
        <w:t xml:space="preserve">Để sử dụng hệ thống truy vết, cần đảm bảo yêu cầu sau: </w:t>
      </w:r>
    </w:p>
    <w:p w:rsidR="00A10DF2" w:rsidRDefault="00A10DF2" w:rsidP="00A10DF2">
      <w:pPr>
        <w:numPr>
          <w:ilvl w:val="0"/>
          <w:numId w:val="1"/>
        </w:numPr>
        <w:spacing w:after="239"/>
        <w:ind w:right="0" w:hanging="202"/>
      </w:pPr>
      <w:r>
        <w:t xml:space="preserve">Có tài khoản đăng nhập hệ thống truy vết do Bộ Y tế cấp </w:t>
      </w:r>
    </w:p>
    <w:p w:rsidR="00A10DF2" w:rsidRDefault="00A10DF2" w:rsidP="00A10DF2">
      <w:pPr>
        <w:numPr>
          <w:ilvl w:val="0"/>
          <w:numId w:val="1"/>
        </w:numPr>
        <w:spacing w:after="240"/>
        <w:ind w:right="0" w:hanging="202"/>
      </w:pPr>
      <w:r>
        <w:t xml:space="preserve">Có số điện thoại của người dùng Bluezone cần truy vết </w:t>
      </w:r>
    </w:p>
    <w:p w:rsidR="00A10DF2" w:rsidRDefault="00A10DF2" w:rsidP="00A10DF2">
      <w:pPr>
        <w:numPr>
          <w:ilvl w:val="0"/>
          <w:numId w:val="1"/>
        </w:numPr>
        <w:spacing w:after="156"/>
        <w:ind w:right="0" w:hanging="202"/>
      </w:pPr>
      <w:r>
        <w:t xml:space="preserve">Được đào tạo nghiệp vụ để sử dụng hệ thống truy vết </w:t>
      </w:r>
    </w:p>
    <w:p w:rsidR="00A10DF2" w:rsidRDefault="00A10DF2" w:rsidP="00A10DF2">
      <w:pPr>
        <w:spacing w:after="137" w:line="259" w:lineRule="auto"/>
        <w:ind w:left="-2" w:right="0" w:hanging="10"/>
        <w:jc w:val="left"/>
      </w:pPr>
      <w:r>
        <w:rPr>
          <w:b/>
        </w:rPr>
        <w:t>I.</w:t>
      </w:r>
      <w:r>
        <w:rPr>
          <w:rFonts w:ascii="Arial" w:eastAsia="Arial" w:hAnsi="Arial" w:cs="Arial"/>
          <w:b/>
        </w:rPr>
        <w:t xml:space="preserve"> </w:t>
      </w:r>
      <w:r>
        <w:rPr>
          <w:b/>
        </w:rPr>
        <w:t xml:space="preserve">CÁCH THỨC TRUY VẾT F1 </w:t>
      </w:r>
    </w:p>
    <w:p w:rsidR="00A10DF2" w:rsidRDefault="00A10DF2" w:rsidP="00A10DF2">
      <w:pPr>
        <w:spacing w:after="137" w:line="259" w:lineRule="auto"/>
        <w:ind w:left="-2" w:right="0" w:hanging="10"/>
        <w:jc w:val="left"/>
      </w:pPr>
      <w:r>
        <w:rPr>
          <w:b/>
        </w:rPr>
        <w:t>1.</w:t>
      </w:r>
      <w:r>
        <w:rPr>
          <w:rFonts w:ascii="Arial" w:eastAsia="Arial" w:hAnsi="Arial" w:cs="Arial"/>
          <w:b/>
        </w:rPr>
        <w:t xml:space="preserve"> </w:t>
      </w:r>
      <w:r>
        <w:rPr>
          <w:b/>
        </w:rPr>
        <w:t xml:space="preserve">Xác định các “mốc dịch tễ” thông qua mã QR Code </w:t>
      </w:r>
    </w:p>
    <w:p w:rsidR="00A10DF2" w:rsidRDefault="00A10DF2" w:rsidP="00A10DF2">
      <w:pPr>
        <w:spacing w:after="206"/>
        <w:ind w:left="0" w:right="177" w:firstLine="559"/>
      </w:pPr>
      <w:r>
        <w:t xml:space="preserve">Người điều tra: cán bộ điều tra của Trung tâm Kiểm soát bệnh tật (CDC) tuyến tỉnh hoặc Trung tâm y tế (TTYT) cấp huyện cùng với chính quyền địa phương và y tế cơ sở được phân quyền sử dụng hệ thống truy vết qua mã QR Code. </w:t>
      </w:r>
    </w:p>
    <w:p w:rsidR="00A10DF2" w:rsidRDefault="00A10DF2" w:rsidP="00A10DF2">
      <w:pPr>
        <w:spacing w:after="197"/>
        <w:ind w:left="570" w:right="0" w:firstLine="0"/>
      </w:pPr>
      <w:r>
        <w:t xml:space="preserve">Phương pháp truy vết: </w:t>
      </w:r>
    </w:p>
    <w:p w:rsidR="00A10DF2" w:rsidRDefault="00A10DF2" w:rsidP="00A10DF2">
      <w:pPr>
        <w:spacing w:after="132"/>
        <w:ind w:left="0" w:right="177" w:firstLine="559"/>
      </w:pPr>
      <w:r>
        <w:t xml:space="preserve"> + Thu thập điện thoại bệnh nhân sử dụng để check in, check out các điểm công cộng. Trong trường hợp bệnh nhân sử dụng mã QR bằng giấy (in ra từ ứng dụng hoặc thẻ BHYT) thì người điều tra chụp lại mã QR của bệnh nhân.  </w:t>
      </w:r>
    </w:p>
    <w:p w:rsidR="00A10DF2" w:rsidRDefault="00A10DF2" w:rsidP="00A10DF2">
      <w:pPr>
        <w:spacing w:after="168"/>
        <w:ind w:left="0" w:right="177" w:firstLine="559"/>
      </w:pPr>
      <w:r>
        <w:t xml:space="preserve"> + Nhập số điện thoại bệnh nhân hoặc quét mã QR vào hệ thống truy vết. Hệ thống sẽ trả về danh sách các “mốc dịch tễ” bệnh nhân đã check in, check out. </w:t>
      </w:r>
    </w:p>
    <w:p w:rsidR="00A10DF2" w:rsidRDefault="00A10DF2" w:rsidP="00A10DF2">
      <w:pPr>
        <w:spacing w:after="132"/>
        <w:ind w:left="0" w:right="177" w:firstLine="559"/>
      </w:pPr>
      <w:r>
        <w:t xml:space="preserve"> + Lọc các “mốc dịch tễ” mà bệnh nhân đã tham gia hoặc đi đến trong khoảng thời gian từ 3 ngày trước khi khởi phát bệnh cho đến khi bệnh nhân được cách ly y tế. </w:t>
      </w:r>
    </w:p>
    <w:p w:rsidR="00A10DF2" w:rsidRDefault="00A10DF2" w:rsidP="00A10DF2">
      <w:pPr>
        <w:spacing w:after="137" w:line="259" w:lineRule="auto"/>
        <w:ind w:left="-2" w:right="0" w:hanging="10"/>
        <w:jc w:val="left"/>
      </w:pPr>
      <w:r>
        <w:rPr>
          <w:b/>
        </w:rPr>
        <w:t>2.</w:t>
      </w:r>
      <w:r>
        <w:rPr>
          <w:rFonts w:ascii="Arial" w:eastAsia="Arial" w:hAnsi="Arial" w:cs="Arial"/>
          <w:b/>
        </w:rPr>
        <w:t xml:space="preserve"> </w:t>
      </w:r>
      <w:r>
        <w:rPr>
          <w:b/>
        </w:rPr>
        <w:t xml:space="preserve">Truy vết từ các “mốc dịch tễ” bằng hệ thống QR Code </w:t>
      </w:r>
    </w:p>
    <w:p w:rsidR="00A10DF2" w:rsidRDefault="00A10DF2" w:rsidP="00A10DF2">
      <w:pPr>
        <w:spacing w:after="132"/>
        <w:ind w:left="0" w:right="177" w:firstLine="559"/>
      </w:pPr>
      <w:r>
        <w:lastRenderedPageBreak/>
        <w:t xml:space="preserve">Bộ phận điều phối nên đặt tại Khoa kiểm soát bệnh truyền nhiễm của CDC cấp tỉnh hoặc TTYT cấp huyện. </w:t>
      </w:r>
    </w:p>
    <w:p w:rsidR="00A10DF2" w:rsidRDefault="00A10DF2" w:rsidP="00A10DF2">
      <w:pPr>
        <w:spacing w:after="132"/>
        <w:ind w:left="0" w:right="177" w:firstLine="559"/>
      </w:pPr>
      <w:r>
        <w:t xml:space="preserve">Trích xuất từ hệ thống những người đã đến các “mốc dịch tễ” trong khoảng thời gian bệnh nhân check in, check out. Lập danh sách người từng check in, check out ở “mốc dịch tễ”. </w:t>
      </w:r>
    </w:p>
    <w:p w:rsidR="00A10DF2" w:rsidRDefault="00A10DF2" w:rsidP="00A10DF2">
      <w:pPr>
        <w:spacing w:after="132"/>
        <w:ind w:left="0" w:right="177" w:firstLine="559"/>
      </w:pPr>
      <w:r>
        <w:t>Sau khi có danh sách, cán bộ điều tra truy vết thông báo ngay cho bộ phận điều phối bằng mọi phương tiện nhanh nhất (điện thoại, tin nhắn điện thoại hoặc chụp ảnh g</w:t>
      </w:r>
      <w:r>
        <w:rPr>
          <w:sz w:val="43"/>
          <w:vertAlign w:val="subscript"/>
        </w:rPr>
        <w:t>ử</w:t>
      </w:r>
      <w:r>
        <w:t xml:space="preserve">i qua tin Zalo, Viber…). </w:t>
      </w:r>
    </w:p>
    <w:p w:rsidR="00A10DF2" w:rsidRDefault="00A10DF2" w:rsidP="00A10DF2">
      <w:pPr>
        <w:spacing w:after="132"/>
        <w:ind w:left="0" w:right="177" w:firstLine="559"/>
      </w:pPr>
      <w:r>
        <w:t xml:space="preserve">Bộ phận điều phối thông báo ngay cho chính quyền địa phương, hệ thống giám sát và y tế cơ sở nơi có các “mốc dịch tễ”, đồng thời điều động nhiều đội truy vết đồng loạt tới các “mốc dịch tễ” để cùng với với các lực lượng tại địa phương xác minh các trường hợp F1. Trong trường hợp một số “mốc dịch tễ” nằm ngoài địa bàn quản lý thì bộ phận điều phối sẽ liên hệ và thông báo “mốc dịch tễ” cho các đơn vị liên quan để phối hợp điều tra truy vết. </w:t>
      </w:r>
    </w:p>
    <w:p w:rsidR="00A10DF2" w:rsidRDefault="00A10DF2" w:rsidP="00A10DF2">
      <w:pPr>
        <w:numPr>
          <w:ilvl w:val="0"/>
          <w:numId w:val="2"/>
        </w:numPr>
        <w:spacing w:after="137" w:line="259" w:lineRule="auto"/>
        <w:ind w:right="0" w:hanging="426"/>
        <w:jc w:val="left"/>
      </w:pPr>
      <w:r>
        <w:rPr>
          <w:b/>
        </w:rPr>
        <w:t xml:space="preserve">Triển khai truy vết F1 thông qua hệ thống Bluezone </w:t>
      </w:r>
    </w:p>
    <w:p w:rsidR="00A10DF2" w:rsidRDefault="00A10DF2" w:rsidP="00A10DF2">
      <w:pPr>
        <w:numPr>
          <w:ilvl w:val="1"/>
          <w:numId w:val="2"/>
        </w:numPr>
        <w:spacing w:after="193"/>
        <w:ind w:right="177" w:firstLine="559"/>
      </w:pPr>
      <w:r>
        <w:t xml:space="preserve">Người điều tra: cán bộ điều tra của Trung tâm Kiểm soát bệnh tật (CDC) tuyến tỉnh hoặc Trung tâm y tế (TTYT) cấp huyện cùng với chính quyền địa phương và y tế cơ sở được phân quyền sử dụng hệ thống truy vết Bluezone tại địa chỉ https://cdc.bluezone.gov.vn. </w:t>
      </w:r>
    </w:p>
    <w:p w:rsidR="00A10DF2" w:rsidRDefault="00A10DF2" w:rsidP="00A10DF2">
      <w:pPr>
        <w:numPr>
          <w:ilvl w:val="1"/>
          <w:numId w:val="2"/>
        </w:numPr>
        <w:spacing w:after="165"/>
        <w:ind w:right="177" w:firstLine="559"/>
      </w:pPr>
      <w:r>
        <w:t xml:space="preserve">Phương pháp truy vết: </w:t>
      </w:r>
    </w:p>
    <w:p w:rsidR="00A10DF2" w:rsidRDefault="00A10DF2" w:rsidP="00A10DF2">
      <w:pPr>
        <w:tabs>
          <w:tab w:val="center" w:pos="4336"/>
        </w:tabs>
        <w:spacing w:after="132"/>
        <w:ind w:left="0" w:right="0" w:firstLine="0"/>
        <w:jc w:val="left"/>
      </w:pPr>
      <w:r>
        <w:t xml:space="preserve"> </w:t>
      </w:r>
      <w:r>
        <w:tab/>
        <w:t xml:space="preserve">+ Thu thập điện thoại bệnh nhân sử dụng ứng dụng Bluezone.  </w:t>
      </w:r>
    </w:p>
    <w:p w:rsidR="00A10DF2" w:rsidRDefault="00A10DF2" w:rsidP="00A10DF2">
      <w:pPr>
        <w:tabs>
          <w:tab w:val="center" w:pos="3912"/>
        </w:tabs>
        <w:spacing w:after="159"/>
        <w:ind w:left="0" w:right="0" w:firstLine="0"/>
        <w:jc w:val="left"/>
      </w:pPr>
      <w:r>
        <w:t xml:space="preserve"> </w:t>
      </w:r>
      <w:r>
        <w:tab/>
        <w:t xml:space="preserve">+ Nhập số điện thoại bệnh nhân vào hệ thống truy vết.  </w:t>
      </w:r>
    </w:p>
    <w:p w:rsidR="00A10DF2" w:rsidRDefault="00A10DF2" w:rsidP="00A10DF2">
      <w:pPr>
        <w:spacing w:after="132"/>
        <w:ind w:left="103" w:right="177" w:firstLine="0"/>
      </w:pPr>
      <w:r>
        <w:t xml:space="preserve"> + Hệ thống sẽ trả về danh sách các người dùng ứng dụng Bluezone tiếp xúc gần với bệnh nhân. </w:t>
      </w:r>
    </w:p>
    <w:p w:rsidR="00A10DF2" w:rsidRDefault="00A10DF2" w:rsidP="00A10DF2">
      <w:pPr>
        <w:spacing w:after="0"/>
        <w:ind w:left="103" w:right="177" w:firstLine="0"/>
      </w:pPr>
      <w:r>
        <w:t xml:space="preserve"> + Từ danh sách trả về, lập danh sách F1 mà bệnh nhân đã tiếp xúc trong khoảng thời gian từ 3 ngày trước khi khởi phát bệnh cho đến khi bệnh nhân được cách ly y t</w:t>
      </w:r>
      <w:r>
        <w:rPr>
          <w:sz w:val="43"/>
          <w:vertAlign w:val="subscript"/>
        </w:rPr>
        <w:t>ế</w:t>
      </w:r>
      <w:r>
        <w:t xml:space="preserve">. </w:t>
      </w:r>
    </w:p>
    <w:p w:rsidR="00A10DF2" w:rsidRDefault="00A10DF2" w:rsidP="00A10DF2">
      <w:pPr>
        <w:numPr>
          <w:ilvl w:val="0"/>
          <w:numId w:val="2"/>
        </w:numPr>
        <w:spacing w:after="137" w:line="259" w:lineRule="auto"/>
        <w:ind w:right="0" w:hanging="426"/>
        <w:jc w:val="left"/>
      </w:pPr>
      <w:r>
        <w:rPr>
          <w:b/>
        </w:rPr>
        <w:t xml:space="preserve">Rà soát và hoàn thiện danh sách F1 </w:t>
      </w:r>
    </w:p>
    <w:p w:rsidR="00A10DF2" w:rsidRDefault="00A10DF2" w:rsidP="00A10DF2">
      <w:pPr>
        <w:numPr>
          <w:ilvl w:val="1"/>
          <w:numId w:val="2"/>
        </w:numPr>
        <w:spacing w:after="132"/>
        <w:ind w:right="177" w:firstLine="559"/>
      </w:pPr>
      <w:r>
        <w:t xml:space="preserve">Tất cả các đội truy vết từ các nơi gửi nhanh danh sách F1 về bộ phận điều phối, tốt nhất là gửi theo tiến độ với nguyên tắc “truy vết được đến đâu gửi ngay </w:t>
      </w:r>
      <w:r>
        <w:lastRenderedPageBreak/>
        <w:t xml:space="preserve">danh sách đến đó” và tiếp tục cập nhật cho đến khi hoàn thành truy vết (chụp ảnh danh sách F1 bằng điện thoại thông minh rồi gửi qua Zalo, Viber… về bộ phận điều phối). </w:t>
      </w:r>
    </w:p>
    <w:p w:rsidR="00A10DF2" w:rsidRDefault="00A10DF2" w:rsidP="00A10DF2">
      <w:pPr>
        <w:numPr>
          <w:ilvl w:val="1"/>
          <w:numId w:val="2"/>
        </w:numPr>
        <w:spacing w:after="132"/>
        <w:ind w:right="177" w:firstLine="559"/>
      </w:pPr>
      <w:r>
        <w:t xml:space="preserve">Bộ phận điều phối tổng hợp ngay danh sách F1 từ các đội điều tra nhập vào máy tính bằng ứng dụng Microsoft Excel hoặc các ứng dụng khác. Sử dụng phần mềm Microsoft Excel hoặc các ứng dụng khác để sàng lọc, lọc trùng lặp và lập danh sách toàn bộ F1 truy vết được. </w:t>
      </w:r>
    </w:p>
    <w:p w:rsidR="00A10DF2" w:rsidRDefault="00A10DF2" w:rsidP="00A10DF2">
      <w:pPr>
        <w:numPr>
          <w:ilvl w:val="1"/>
          <w:numId w:val="2"/>
        </w:numPr>
        <w:spacing w:after="132"/>
        <w:ind w:right="177" w:firstLine="559"/>
      </w:pPr>
      <w:r>
        <w:t xml:space="preserve">Thông báo ngay danh sách F1 truy vết được cho chính quyền địa phương và Ban chỉ đạo phòng chống dịch các cấp để tổ chức cách ly, xử lý </w:t>
      </w:r>
      <w:proofErr w:type="gramStart"/>
      <w:r>
        <w:t>theo</w:t>
      </w:r>
      <w:proofErr w:type="gramEnd"/>
      <w:r>
        <w:t xml:space="preserve"> quy định. </w:t>
      </w:r>
    </w:p>
    <w:p w:rsidR="00A10DF2" w:rsidRDefault="00A10DF2" w:rsidP="00A10DF2">
      <w:pPr>
        <w:numPr>
          <w:ilvl w:val="0"/>
          <w:numId w:val="2"/>
        </w:numPr>
        <w:spacing w:after="137" w:line="259" w:lineRule="auto"/>
        <w:ind w:right="0" w:hanging="426"/>
        <w:jc w:val="left"/>
      </w:pPr>
      <w:r>
        <w:rPr>
          <w:b/>
        </w:rPr>
        <w:t>Tổ chức cách ly và lấy mẫu bệnh phẩm</w:t>
      </w:r>
      <w:r>
        <w:t xml:space="preserve"> </w:t>
      </w:r>
    </w:p>
    <w:p w:rsidR="00A10DF2" w:rsidRDefault="00A10DF2" w:rsidP="00A10DF2">
      <w:pPr>
        <w:numPr>
          <w:ilvl w:val="1"/>
          <w:numId w:val="2"/>
        </w:numPr>
        <w:spacing w:after="171" w:line="326" w:lineRule="auto"/>
        <w:ind w:right="177" w:firstLine="559"/>
      </w:pPr>
      <w:r>
        <w:t xml:space="preserve">Ban chỉ đạo phòng chống dịch và chính quyền địa phương tổ chức và bố trí phương tiện đưa người F1 đi cách ly </w:t>
      </w:r>
      <w:proofErr w:type="gramStart"/>
      <w:r>
        <w:t>theo</w:t>
      </w:r>
      <w:proofErr w:type="gramEnd"/>
      <w:r>
        <w:t xml:space="preserve"> đúng quy định của Bộ Y tế. Trong quá trình tổ chức đưa người F1 đi cách ly, cơ quan y tế địa phương cùng với chính quyền và các lực lượng khác tại địa phương tiếp tục rà soát, sàng lọc để đảm bảo F1 được đưa đi cách ly chính xác, đúng đối tượng theo quy định chuyên môn. </w:t>
      </w:r>
    </w:p>
    <w:p w:rsidR="00A10DF2" w:rsidRDefault="00A10DF2" w:rsidP="00A10DF2">
      <w:pPr>
        <w:numPr>
          <w:ilvl w:val="1"/>
          <w:numId w:val="2"/>
        </w:numPr>
        <w:spacing w:after="132"/>
        <w:ind w:right="177" w:firstLine="559"/>
      </w:pPr>
      <w:r>
        <w:t xml:space="preserve">Tiến hành lấy mẫu bệnh phẩm lần 1 cho F1 tại cơ sở cách ly y tế càng sớm càng tốt và vận chuyển mẫu bệnh phẩm tới cơ sở xét nghiệm có đủ năng lực </w:t>
      </w:r>
      <w:proofErr w:type="gramStart"/>
      <w:r>
        <w:t>theo</w:t>
      </w:r>
      <w:proofErr w:type="gramEnd"/>
      <w:r>
        <w:t xml:space="preserve"> quy định của Bộ Y tế. Không nên lấy mẫu bệnh phẩm F1 tại cộng đồng để tránh lộn xộn và mất thời gian trong quá trình đưa người F1 đi cách ly. </w:t>
      </w:r>
    </w:p>
    <w:p w:rsidR="00A10DF2" w:rsidRDefault="00A10DF2" w:rsidP="00A10DF2">
      <w:pPr>
        <w:spacing w:after="232" w:line="259" w:lineRule="auto"/>
        <w:ind w:left="-2" w:right="0" w:hanging="10"/>
        <w:jc w:val="left"/>
      </w:pPr>
      <w:r>
        <w:rPr>
          <w:b/>
        </w:rPr>
        <w:t>II.</w:t>
      </w:r>
      <w:r>
        <w:rPr>
          <w:rFonts w:ascii="Arial" w:eastAsia="Arial" w:hAnsi="Arial" w:cs="Arial"/>
          <w:b/>
        </w:rPr>
        <w:t xml:space="preserve"> </w:t>
      </w:r>
      <w:r>
        <w:rPr>
          <w:b/>
        </w:rPr>
        <w:t xml:space="preserve">CÁCH THỨC TRUY VẾT F2 </w:t>
      </w:r>
    </w:p>
    <w:p w:rsidR="00A10DF2" w:rsidRDefault="00A10DF2" w:rsidP="00A10DF2">
      <w:pPr>
        <w:spacing w:after="67" w:line="350" w:lineRule="auto"/>
        <w:ind w:left="125" w:right="0"/>
      </w:pPr>
      <w:r>
        <w:t xml:space="preserve">Sau khi đã cơ bản hoàn thành truy vết F1, tiến hành truy vết F2 </w:t>
      </w:r>
      <w:proofErr w:type="gramStart"/>
      <w:r>
        <w:t>theo</w:t>
      </w:r>
      <w:proofErr w:type="gramEnd"/>
      <w:r>
        <w:t xml:space="preserve"> các cách sau đây: </w:t>
      </w:r>
    </w:p>
    <w:p w:rsidR="00A10DF2" w:rsidRDefault="00A10DF2" w:rsidP="00A10DF2">
      <w:pPr>
        <w:numPr>
          <w:ilvl w:val="0"/>
          <w:numId w:val="3"/>
        </w:numPr>
        <w:spacing w:after="171"/>
        <w:ind w:right="60" w:firstLine="688"/>
      </w:pPr>
      <w:r>
        <w:t xml:space="preserve">Nhập số điện thoại F1 vào hệ thống Bluezone. Hệ thống trả về danh sách tiếp xúc gần với F1. Lọc danh sách F2 theo thời gian tính từ ngày F1 tiếp xúc với ca bệnh cho đến khi F1 đi cách ly </w:t>
      </w:r>
    </w:p>
    <w:p w:rsidR="00A10DF2" w:rsidRDefault="00A10DF2" w:rsidP="00A10DF2">
      <w:pPr>
        <w:numPr>
          <w:ilvl w:val="0"/>
          <w:numId w:val="3"/>
        </w:numPr>
        <w:spacing w:after="182" w:line="263" w:lineRule="auto"/>
        <w:ind w:right="60" w:firstLine="688"/>
      </w:pPr>
      <w:r>
        <w:t xml:space="preserve">Thực hiện truy vết F2 bổ sung bằng hệ thống QR code. Quy trình thực hiện tương tự như Bước 2 truy vết qua các “mốc dịch tễ” bằng hệ thống QR code. Cơ sở cách ly tập trung, chính quyền địa phương và y tế cơ sở tiếp tục điều </w:t>
      </w:r>
      <w:proofErr w:type="gramStart"/>
      <w:r>
        <w:t>tra ,</w:t>
      </w:r>
      <w:proofErr w:type="gramEnd"/>
      <w:r>
        <w:t xml:space="preserve"> xác minh F2 từ người F1 tại cơ sở cách ly tập trung. </w:t>
      </w:r>
    </w:p>
    <w:p w:rsidR="00A10DF2" w:rsidRDefault="00A10DF2" w:rsidP="00A10DF2">
      <w:pPr>
        <w:numPr>
          <w:ilvl w:val="0"/>
          <w:numId w:val="3"/>
        </w:numPr>
        <w:spacing w:after="0" w:line="337" w:lineRule="auto"/>
        <w:ind w:right="60" w:firstLine="688"/>
      </w:pPr>
      <w:r>
        <w:lastRenderedPageBreak/>
        <w:t xml:space="preserve">Chuyển danh sách F2 truy vết được cho địa phương để tổ chức cách ly y tế tại nhà </w:t>
      </w:r>
      <w:proofErr w:type="gramStart"/>
      <w:r>
        <w:t>theo</w:t>
      </w:r>
      <w:proofErr w:type="gramEnd"/>
      <w:r>
        <w:t xml:space="preserve"> quy định. </w:t>
      </w:r>
    </w:p>
    <w:p w:rsidR="00A10DF2" w:rsidRDefault="00A10DF2" w:rsidP="00A10DF2">
      <w:pPr>
        <w:spacing w:after="126" w:line="259" w:lineRule="auto"/>
        <w:ind w:left="712" w:right="0" w:firstLine="0"/>
        <w:jc w:val="left"/>
      </w:pPr>
      <w:r>
        <w:rPr>
          <w:sz w:val="24"/>
        </w:rPr>
        <w:t xml:space="preserve"> </w:t>
      </w:r>
    </w:p>
    <w:p w:rsidR="00A10DF2" w:rsidRDefault="00A10DF2" w:rsidP="00A10DF2">
      <w:pPr>
        <w:spacing w:after="126" w:line="259" w:lineRule="auto"/>
        <w:ind w:left="712" w:right="0" w:firstLine="0"/>
        <w:jc w:val="left"/>
      </w:pPr>
      <w:r>
        <w:rPr>
          <w:sz w:val="24"/>
        </w:rPr>
        <w:t xml:space="preserve"> </w:t>
      </w:r>
    </w:p>
    <w:p w:rsidR="00A10DF2" w:rsidRDefault="00A10DF2" w:rsidP="00A10DF2">
      <w:pPr>
        <w:spacing w:after="126" w:line="259" w:lineRule="auto"/>
        <w:ind w:left="712" w:right="0" w:firstLine="0"/>
        <w:jc w:val="left"/>
      </w:pPr>
      <w:r>
        <w:rPr>
          <w:sz w:val="24"/>
        </w:rPr>
        <w:t xml:space="preserve"> </w:t>
      </w:r>
    </w:p>
    <w:p w:rsidR="00A10DF2" w:rsidRDefault="00A10DF2" w:rsidP="00A10DF2">
      <w:pPr>
        <w:spacing w:after="126" w:line="259" w:lineRule="auto"/>
        <w:ind w:left="712" w:right="0" w:firstLine="0"/>
        <w:jc w:val="left"/>
      </w:pPr>
      <w:r>
        <w:rPr>
          <w:sz w:val="24"/>
        </w:rPr>
        <w:t xml:space="preserve"> </w:t>
      </w:r>
    </w:p>
    <w:p w:rsidR="00A10DF2" w:rsidRDefault="00A10DF2" w:rsidP="00A10DF2">
      <w:pPr>
        <w:spacing w:after="126" w:line="259" w:lineRule="auto"/>
        <w:ind w:left="712" w:right="0" w:firstLine="0"/>
        <w:jc w:val="left"/>
      </w:pPr>
      <w:r>
        <w:rPr>
          <w:sz w:val="24"/>
        </w:rPr>
        <w:t xml:space="preserve"> </w:t>
      </w:r>
    </w:p>
    <w:p w:rsidR="00A10DF2" w:rsidRDefault="00A10DF2" w:rsidP="00A10DF2">
      <w:pPr>
        <w:spacing w:after="126" w:line="259" w:lineRule="auto"/>
        <w:ind w:left="712" w:right="0" w:firstLine="0"/>
        <w:jc w:val="left"/>
      </w:pPr>
      <w:r>
        <w:rPr>
          <w:sz w:val="24"/>
        </w:rPr>
        <w:t xml:space="preserve"> </w:t>
      </w:r>
    </w:p>
    <w:p w:rsidR="00A10DF2" w:rsidRDefault="00A10DF2" w:rsidP="00A10DF2">
      <w:pPr>
        <w:spacing w:after="126" w:line="259" w:lineRule="auto"/>
        <w:ind w:left="712" w:right="0" w:firstLine="0"/>
        <w:jc w:val="left"/>
      </w:pPr>
      <w:r>
        <w:rPr>
          <w:sz w:val="24"/>
        </w:rPr>
        <w:t xml:space="preserve"> </w:t>
      </w:r>
    </w:p>
    <w:p w:rsidR="00A10DF2" w:rsidRDefault="00A10DF2" w:rsidP="00A10DF2">
      <w:pPr>
        <w:spacing w:after="126" w:line="259" w:lineRule="auto"/>
        <w:ind w:left="712" w:right="0" w:firstLine="0"/>
        <w:jc w:val="left"/>
      </w:pPr>
      <w:r>
        <w:rPr>
          <w:sz w:val="24"/>
        </w:rPr>
        <w:t xml:space="preserve"> </w:t>
      </w:r>
    </w:p>
    <w:p w:rsidR="00A10DF2" w:rsidRDefault="00A10DF2" w:rsidP="00A10DF2">
      <w:pPr>
        <w:spacing w:after="126" w:line="259" w:lineRule="auto"/>
        <w:ind w:left="712" w:right="0" w:firstLine="0"/>
        <w:jc w:val="left"/>
      </w:pPr>
      <w:r>
        <w:rPr>
          <w:sz w:val="24"/>
        </w:rPr>
        <w:t xml:space="preserve"> </w:t>
      </w:r>
    </w:p>
    <w:p w:rsidR="00A10DF2" w:rsidRDefault="00A10DF2" w:rsidP="00A10DF2">
      <w:pPr>
        <w:spacing w:after="126" w:line="259" w:lineRule="auto"/>
        <w:ind w:left="712" w:right="0" w:firstLine="0"/>
        <w:jc w:val="left"/>
      </w:pPr>
      <w:r>
        <w:rPr>
          <w:sz w:val="24"/>
        </w:rPr>
        <w:t xml:space="preserve"> </w:t>
      </w:r>
    </w:p>
    <w:p w:rsidR="00A10DF2" w:rsidRDefault="00A10DF2" w:rsidP="00A10DF2">
      <w:pPr>
        <w:spacing w:after="126" w:line="259" w:lineRule="auto"/>
        <w:ind w:left="712" w:right="0" w:firstLine="0"/>
        <w:jc w:val="left"/>
      </w:pPr>
      <w:r>
        <w:rPr>
          <w:sz w:val="24"/>
        </w:rPr>
        <w:t xml:space="preserve"> </w:t>
      </w:r>
    </w:p>
    <w:p w:rsidR="00A10DF2" w:rsidRDefault="00A10DF2" w:rsidP="00A10DF2">
      <w:pPr>
        <w:spacing w:after="126" w:line="259" w:lineRule="auto"/>
        <w:ind w:left="712" w:right="0" w:firstLine="0"/>
        <w:jc w:val="left"/>
      </w:pPr>
      <w:r>
        <w:rPr>
          <w:sz w:val="24"/>
        </w:rPr>
        <w:t xml:space="preserve"> </w:t>
      </w:r>
    </w:p>
    <w:p w:rsidR="00A10DF2" w:rsidRDefault="00A10DF2" w:rsidP="00A10DF2">
      <w:pPr>
        <w:spacing w:after="126" w:line="259" w:lineRule="auto"/>
        <w:ind w:left="712" w:right="0" w:firstLine="0"/>
        <w:jc w:val="left"/>
      </w:pPr>
      <w:r>
        <w:rPr>
          <w:sz w:val="24"/>
        </w:rPr>
        <w:t xml:space="preserve"> </w:t>
      </w:r>
    </w:p>
    <w:p w:rsidR="00A10DF2" w:rsidRDefault="00A10DF2" w:rsidP="00A10DF2">
      <w:pPr>
        <w:spacing w:after="126" w:line="259" w:lineRule="auto"/>
        <w:ind w:left="712" w:right="0" w:firstLine="0"/>
        <w:jc w:val="left"/>
      </w:pPr>
      <w:r>
        <w:rPr>
          <w:sz w:val="24"/>
        </w:rPr>
        <w:t xml:space="preserve"> </w:t>
      </w:r>
    </w:p>
    <w:p w:rsidR="00A10DF2" w:rsidRDefault="00A10DF2" w:rsidP="00A10DF2">
      <w:pPr>
        <w:spacing w:after="126" w:line="259" w:lineRule="auto"/>
        <w:ind w:left="712" w:right="0" w:firstLine="0"/>
        <w:jc w:val="left"/>
      </w:pPr>
      <w:r>
        <w:rPr>
          <w:sz w:val="24"/>
        </w:rPr>
        <w:t xml:space="preserve"> </w:t>
      </w:r>
    </w:p>
    <w:p w:rsidR="00A10DF2" w:rsidRDefault="00A10DF2" w:rsidP="00A10DF2">
      <w:pPr>
        <w:spacing w:after="126" w:line="259" w:lineRule="auto"/>
        <w:ind w:left="712" w:right="0" w:firstLine="0"/>
        <w:jc w:val="left"/>
      </w:pPr>
      <w:r>
        <w:rPr>
          <w:sz w:val="24"/>
        </w:rPr>
        <w:t xml:space="preserve"> </w:t>
      </w:r>
    </w:p>
    <w:p w:rsidR="00A10DF2" w:rsidRDefault="00A10DF2" w:rsidP="00A10DF2">
      <w:pPr>
        <w:spacing w:after="126" w:line="259" w:lineRule="auto"/>
        <w:ind w:left="712" w:right="0" w:firstLine="0"/>
        <w:jc w:val="left"/>
      </w:pPr>
      <w:r>
        <w:rPr>
          <w:sz w:val="24"/>
        </w:rPr>
        <w:t xml:space="preserve"> </w:t>
      </w:r>
    </w:p>
    <w:p w:rsidR="00A10DF2" w:rsidRDefault="00A10DF2" w:rsidP="00A10DF2">
      <w:pPr>
        <w:spacing w:after="0" w:line="259" w:lineRule="auto"/>
        <w:ind w:left="3" w:right="0" w:firstLine="0"/>
        <w:jc w:val="left"/>
      </w:pPr>
      <w:r>
        <w:rPr>
          <w:sz w:val="24"/>
        </w:rPr>
        <w:t xml:space="preserve"> </w:t>
      </w:r>
    </w:p>
    <w:p w:rsidR="00A10DF2" w:rsidRDefault="00A10DF2" w:rsidP="00A10DF2">
      <w:pPr>
        <w:spacing w:after="112" w:line="259" w:lineRule="auto"/>
        <w:ind w:left="10" w:right="270" w:hanging="10"/>
        <w:jc w:val="right"/>
      </w:pPr>
      <w:r>
        <w:rPr>
          <w:b/>
        </w:rPr>
        <w:t>PHẦN 5</w:t>
      </w:r>
      <w:r>
        <w:t xml:space="preserve"> - </w:t>
      </w:r>
      <w:r>
        <w:rPr>
          <w:b/>
        </w:rPr>
        <w:t>CÁC BIỆN PHÁP HÀNH CHÍNH Ở CẤP CHÍNH QUYỀN</w:t>
      </w:r>
      <w:r>
        <w:t xml:space="preserve"> </w:t>
      </w:r>
    </w:p>
    <w:p w:rsidR="00A10DF2" w:rsidRDefault="00A10DF2" w:rsidP="00A10DF2">
      <w:pPr>
        <w:spacing w:after="237" w:line="322" w:lineRule="auto"/>
        <w:ind w:left="0" w:right="0" w:firstLine="0"/>
        <w:jc w:val="center"/>
      </w:pPr>
      <w:r>
        <w:rPr>
          <w:i/>
        </w:rPr>
        <w:t xml:space="preserve">(Căn cứ vào các đặc thù của từng địa phương mà các biện pháp hành chính có thể được điều chỉnh, bổ sung cho phù hợp và hiệu quả) </w:t>
      </w:r>
    </w:p>
    <w:p w:rsidR="00A10DF2" w:rsidRDefault="00A10DF2" w:rsidP="00A10DF2">
      <w:pPr>
        <w:numPr>
          <w:ilvl w:val="0"/>
          <w:numId w:val="4"/>
        </w:numPr>
        <w:spacing w:after="170"/>
        <w:ind w:right="191"/>
      </w:pPr>
      <w:r>
        <w:t xml:space="preserve">Thủ trưởng các Sở, Ban, Ngành, Đoàn thể chính trị - xã hội, đơn vị sự nghiệp thuộc tỉnh/thành phố chỉ đạo quyết liệt, triệt để, đồng thời, yêu cầu tất cả cán bộ, công chức, viên chức, người lao động của tỉnh sử dụng điện thoại thông minh phải thực hiện cài đặt, sử dụng bộ giải pháp, tuân thủ việc quét mã QR Code </w:t>
      </w:r>
      <w:r>
        <w:lastRenderedPageBreak/>
        <w:t xml:space="preserve">khi ra/vào trụ sở cơ quan và đến các điểm công cộng, và yêu cầu người thân cùng thực hiện.  </w:t>
      </w:r>
    </w:p>
    <w:p w:rsidR="00A10DF2" w:rsidRDefault="00A10DF2" w:rsidP="00A10DF2">
      <w:pPr>
        <w:spacing w:after="172"/>
        <w:ind w:left="3" w:right="192"/>
      </w:pPr>
      <w:r>
        <w:t xml:space="preserve">Yêu cầu các cơ quan, đơn vị đảm bảo việc treo/dán các mã QR Code, đồng thời kiểm soát, ghi nhận các hoạt động ra/vào trụ sở, yêu cầu mọi cá nhân, tổ chức đến làm việc phải cài đặt, sử dụng bộ giải pháp và tuân thủ việc quét mã QR Code trước khi vào trụ sở làm việc. Đăng tải, tuyên truyền hướng dẫn cài đặt các ứng dụng, khai báo y tế điện tử và quy định về quét mã QR Code tại các điểm công cộng lên Cổng/Trang thông tin điện tử và kênh thông tin chính thống trên mạng xã hội của cơ quan, đơn vị mình quản lý. </w:t>
      </w:r>
    </w:p>
    <w:p w:rsidR="00A10DF2" w:rsidRDefault="00A10DF2" w:rsidP="00A10DF2">
      <w:pPr>
        <w:numPr>
          <w:ilvl w:val="0"/>
          <w:numId w:val="4"/>
        </w:numPr>
        <w:spacing w:line="327" w:lineRule="auto"/>
        <w:ind w:right="191"/>
      </w:pPr>
      <w:r>
        <w:t xml:space="preserve">Chủ tịch UBND các cấp quận/huyện, phường/xã chỉ đạo quyết liệt việc thực hiện thực hiện cài đặt, sử dụng bộ giải pháp và tuân thủ việc quét mã QR Code trên địa bàn. Triển khai các giải pháp hướng dẫn, nhắc nhở, yêu cầu người dân khi ra/vào cơ quan, tổ chức, công sở, các điạ điểm công cộng cài đặt, sử dụng bộ giải pháp và tuân thủ việc quét mã QR Code.  </w:t>
      </w:r>
    </w:p>
    <w:p w:rsidR="00A10DF2" w:rsidRDefault="00A10DF2" w:rsidP="00A10DF2">
      <w:pPr>
        <w:spacing w:after="173"/>
        <w:ind w:left="3" w:right="192"/>
      </w:pPr>
      <w:r>
        <w:t xml:space="preserve">Chỉ đạo UBND cấp phường/xã huy động toàn bộ hệ thống chính trị, xã hội trong xã, phường, thị trấn, đặc biệt là thành lập các tổ Covid cộng đồng, vào cuộc theo phương châm “đi từng ngõ, gõ từng nhà” để phát tài liệu hướng dẫn và đề nghị tất cả người dân có điện thoại thông minh trên địa bàn cài đặt, sử dụng bộ giải pháp và tuân thủ việc quét mã QR Code khi đến các điểm công cộng. Thường xuyên kiểm tra việc khai báo y tế điện tử của người dân để kịp thời nắm bắt các phản ánh về tịnh trạng dịch bệnh trên địa bàn quản lý.  </w:t>
      </w:r>
    </w:p>
    <w:p w:rsidR="00A10DF2" w:rsidRDefault="00A10DF2" w:rsidP="00A10DF2">
      <w:pPr>
        <w:spacing w:after="171"/>
        <w:ind w:left="3" w:right="192"/>
      </w:pPr>
      <w:r>
        <w:t xml:space="preserve">Yêu cầu Chủ tịch UBND cấp quận/huyện chỉ đạo, theo dõi tình hình triển khai của các xã, phường, thị trấn, cơ quan, đơn vị, đơn vị, tổ chức trên địa bàn để kịp thời báo cáo tiến độ cho Chủ tịch UBND tỉnh/thành phố. </w:t>
      </w:r>
    </w:p>
    <w:p w:rsidR="00A10DF2" w:rsidRDefault="00A10DF2" w:rsidP="00A10DF2">
      <w:pPr>
        <w:numPr>
          <w:ilvl w:val="0"/>
          <w:numId w:val="4"/>
        </w:numPr>
        <w:spacing w:line="326" w:lineRule="auto"/>
        <w:ind w:right="191"/>
      </w:pPr>
      <w:r>
        <w:t xml:space="preserve">Giám đốc Sở Y tế: Chỉ đạo các cơ sở y tế triệt để yêu cầu cán bộ, nhân viên, người lao động cài đặt, sử dụng bộ giải pháp và tuân thủ việc quét mã QR Code trên điện thoại thông minh của cá nhân; yêu cầu người dân tham gia khám chữa bệnh tại các cơ sở khám chữa bệnh có điện thoại thông minh phải cài đặt, sử dụng bộ giải pháp và tuân thủ việc quét mã QR Code; Sở Y tế phối hợp chặt chẽ với Sở Thông tin và Truyền thông và các cơ quan, đơn vị có liên quan sử dụng bộ </w:t>
      </w:r>
      <w:r>
        <w:lastRenderedPageBreak/>
        <w:t xml:space="preserve">giải pháp và cơ sở dữ liệu khai báo y tế trong quản lý, truy vết, giúp khoanh vùng sự lây lan của dịch bệnh.  </w:t>
      </w:r>
    </w:p>
    <w:p w:rsidR="00A10DF2" w:rsidRDefault="00A10DF2" w:rsidP="00A10DF2">
      <w:pPr>
        <w:numPr>
          <w:ilvl w:val="0"/>
          <w:numId w:val="4"/>
        </w:numPr>
        <w:spacing w:after="264"/>
        <w:ind w:right="191"/>
      </w:pPr>
      <w:r>
        <w:t xml:space="preserve">Ban Quản lý các Khu Công nghệ, Khu Kinh tế, Khu Công nghệ thông tin tập trung của tỉnh/thành phố tuyên truyền, yêu cầu các doanh nghiệp hoạt động trong các Khu Công nghệ, Khu Kinh tế, Khu Công nghệ thông tin tập trung tổ chức triển khai, yêu cầu triệt để toàn thể cán bộ, công nhân viên và người lao động của đơn vị mình có điện thoại thông minh phải cài đặt, sử dụng bộ giải pháp và tuân thủ việc quét mã QR Code khi ra/vào nơi làm việc, coi đây là yêu cầu bắt buộc khi tham gia hoạt động sản xuất. </w:t>
      </w:r>
    </w:p>
    <w:p w:rsidR="00A10DF2" w:rsidRDefault="00A10DF2" w:rsidP="00A10DF2">
      <w:pPr>
        <w:numPr>
          <w:ilvl w:val="0"/>
          <w:numId w:val="4"/>
        </w:numPr>
        <w:spacing w:after="251"/>
        <w:ind w:right="191"/>
      </w:pPr>
      <w:r>
        <w:t xml:space="preserve">Giám đốc Sở Giáo dục và Đào tạo; Giám đốc Sở Lao động – Thương binh và Xã hội; Hiệu trưởng các trường Đại học, Cao đẳng trên địa bàn tỉnh/thành phố: Chỉ đạo các cơ sở giáo dục, cơ sở dạy nghề, trường đại học, cao đẳng trên địa bàn thông báo và yêu cầu học sinh, sinh viên có điện thoại di động thông minh cài đặt, sử dụng bộ giải pháp cho mình và cho người thân, và tuân thủ việc quét mã QR Code khi đến các điểm công cộng. </w:t>
      </w:r>
    </w:p>
    <w:p w:rsidR="00A10DF2" w:rsidRDefault="00A10DF2" w:rsidP="00A10DF2">
      <w:pPr>
        <w:numPr>
          <w:ilvl w:val="0"/>
          <w:numId w:val="4"/>
        </w:numPr>
        <w:spacing w:line="325" w:lineRule="auto"/>
        <w:ind w:right="191"/>
      </w:pPr>
      <w:r>
        <w:t xml:space="preserve">Giám đốc Sở Giao thông – Vận tải: Chỉ đạo các doanh nghiệp vận tải hoạt động trên địa bàn tỉnh triển khai các biện pháp tuyên truyền trên các phương tiện vận tải để vận động hành khách, bao gồm cả hành khách ngoại tỉnh cài đặt, sử dụng bộ giải pháp và tuân thủ việc quét mã QR Code khi đến các bến tàu, xe; Chỉ đạo thực hiện hiển thị mã QR Code, thông tin hướng dẫn cách cài đặt bộ giải pháp, thông báo đề nghị cài đặt, sử dụng bộ giải pháp và tuân thủ việc quét mã QR Code tại các bến tàu, xe, các phương tiện giao thông vận tải công cộng… </w:t>
      </w:r>
    </w:p>
    <w:p w:rsidR="00A10DF2" w:rsidRDefault="00A10DF2" w:rsidP="00A10DF2">
      <w:pPr>
        <w:numPr>
          <w:ilvl w:val="0"/>
          <w:numId w:val="4"/>
        </w:numPr>
        <w:spacing w:after="167"/>
        <w:ind w:right="191"/>
      </w:pPr>
      <w:r>
        <w:t xml:space="preserve">Giám đốc Sở Văn hoá, Thể thao và Du lịch: Chỉ đạo các nhà hàng, khách sạn, tổ chức doanh nghiệp, các cơ sở kinh doanh lưu trú… hướng dẫn, khuyến nghị, yêu cầu khách hàng khi sử dụng dịch vụ hoặc ra/vào phải cài đặt, sử dụng bộ giải pháp và tuân thủ việc quét mã QR Code; Chỉ đạo các đơn vị, doanh nghiệp truyền thông, quảng cáo ngoài trời hỗ trợ tuyên truyền việc cài đặt, sử dụng bộ giải pháp và tuân thủ việc quét mã QR Code trên các màn hình quảng cáo ngoài trời.  </w:t>
      </w:r>
    </w:p>
    <w:p w:rsidR="00A10DF2" w:rsidRDefault="00A10DF2" w:rsidP="00A10DF2">
      <w:pPr>
        <w:numPr>
          <w:ilvl w:val="0"/>
          <w:numId w:val="4"/>
        </w:numPr>
        <w:spacing w:after="252"/>
        <w:ind w:right="191"/>
      </w:pPr>
      <w:r>
        <w:t xml:space="preserve">Giám đốc Sở Công thương: Chỉ đạo, yêu cầu các cơ sở kinh doanh, trung tâm thương mại, chợ truyền thống hướng dẫn, khuyến nghị, yêu cầu người </w:t>
      </w:r>
      <w:r>
        <w:lastRenderedPageBreak/>
        <w:t xml:space="preserve">dân khi tham gia dịch vụ hoặc ra/vào các địa điểm trên phải cài đặt, sử dụng bộ giải pháp và tuân thủ việc quét mã QR Code.  </w:t>
      </w:r>
    </w:p>
    <w:p w:rsidR="00A10DF2" w:rsidRDefault="00A10DF2" w:rsidP="00A10DF2">
      <w:pPr>
        <w:numPr>
          <w:ilvl w:val="0"/>
          <w:numId w:val="4"/>
        </w:numPr>
        <w:spacing w:after="237"/>
        <w:ind w:right="191"/>
      </w:pPr>
      <w:r>
        <w:t xml:space="preserve">Giám đốc Sở Thông tin và Truyền thông: Phối hợp với các cơ quan thông tin, báo chí trên địa bàn tỉnh/thành phố, đặc biệt là Đài Phát thanh cấp quận/huyện, Đài Truyền thanh cấp phường/xã triển khai các biện pháp tuyên truyền để vận động người dân cài đặt, sử dụng bộ giải pháp và tuân thủ việc quét mã QR Code; Tuyên truyền, hướng dẫn người dân thực hiện trên các kênh thông tin mạng xã hội chính thống của tỉnh/thành phố; Phối hợp với các doanh nghiệp Viễn thông, các đơn vị cung ứng dịch vụ OTT triển khai nhắn tin đề nghị người dân cài đặt, sử dụng bộ giải pháp và tuân thủ việc quét mã QR Code tại các điểm công cộng, cảnh báo các trường hợp có tiếp xúc với các ca nhiễm được phát hiện qua bộ giải pháp và định kỳ nhắc lại. Phối hợp với Bộ Thông tin và Truyền thông, Bộ Y tế sử dụng các giải pháp kỹ thuật, công nghệ để truy xuất, tích hợp dữ liệu từ bộ giải pháp để Sở Y tế và các cơ quan, đơn vị có liên quan khai thác phục vụ công tác quản lý truy vết. Nghiên cứu, triển khai giải pháp QR Code để kiểm tra việc khai báo y tế và quản lý, giám sát, ghi nhận việc người dân ra/vào các trụ sở, địa điểm công cộng, phương tiện công cộng. </w:t>
      </w:r>
    </w:p>
    <w:p w:rsidR="00A10DF2" w:rsidRDefault="00A10DF2" w:rsidP="00A10DF2">
      <w:pPr>
        <w:numPr>
          <w:ilvl w:val="0"/>
          <w:numId w:val="4"/>
        </w:numPr>
        <w:spacing w:after="69" w:line="350" w:lineRule="auto"/>
        <w:ind w:right="191"/>
      </w:pPr>
      <w:r>
        <w:t xml:space="preserve">Thành viên Ban Chỉ đạo phòng, chống dịch bệnh COVID-19 các cấp: Chỉ đạo triệt để việc cài đặt, sử dụng bộ giải pháp và tuân thủ việc quét mã QR Code trong các tổ chức, cá nhân thuộc lĩnh vực ngành mình quản lý.  </w:t>
      </w:r>
    </w:p>
    <w:p w:rsidR="00A10DF2" w:rsidRDefault="00A10DF2" w:rsidP="00A10DF2">
      <w:pPr>
        <w:numPr>
          <w:ilvl w:val="0"/>
          <w:numId w:val="4"/>
        </w:numPr>
        <w:spacing w:after="264"/>
        <w:ind w:right="191"/>
      </w:pPr>
      <w:r>
        <w:t xml:space="preserve">Giám đốc Trung tâm Kiểm soát bệnh tật tỉnh/thành phố, Tổ trưởng Tổ quản lý các khu cách ly tập trung: Chỉ đạo các khu cách ly y tế triệt để yêu cầu các công dân thuộc diện cách ly tập trung, cách ly tại nhà và những công dân thuộc diện phải xét nghiệm COVID-19 trên địa bàn phải thực hiện cài đặt, sử dụng bộ giải pháp và tuân thủ việc quét mã QR Code.  </w:t>
      </w:r>
    </w:p>
    <w:p w:rsidR="00A10DF2" w:rsidRDefault="00A10DF2" w:rsidP="00A10DF2">
      <w:pPr>
        <w:numPr>
          <w:ilvl w:val="0"/>
          <w:numId w:val="4"/>
        </w:numPr>
        <w:spacing w:after="61" w:line="355" w:lineRule="auto"/>
        <w:ind w:right="191"/>
      </w:pPr>
      <w:r>
        <w:t xml:space="preserve">Liên đoàn Lao động tỉnh/thành phố, các tổ chức Đoàn thể chính trị - xã hội, các tổ chức Hội phát động phong trào cài đặt, hỗ trợ tất cả đoàn viên, hội viên trong tổ chức mình và người lao động tại các doanh nghiệp cài đặt, sử dụng bộ giải pháp và tuân thủ việc quét mã QR Code.  </w:t>
      </w:r>
    </w:p>
    <w:p w:rsidR="00A10DF2" w:rsidRDefault="00A10DF2" w:rsidP="00A10DF2">
      <w:pPr>
        <w:spacing w:after="171"/>
        <w:ind w:left="3" w:right="191"/>
      </w:pPr>
      <w:r>
        <w:lastRenderedPageBreak/>
        <w:t xml:space="preserve">Yêu cầu Thủ trưởng các cơ quan, đơn vị, Chủ tịch UBND cấp quận/huyện, phường/xã tổ chức thực hiện và thường xuyên báo cáo kết quả triển khai về UBND tỉnh/thành phố qua đầu mối là Sở Thông tin và Truyền thông.  </w:t>
      </w:r>
    </w:p>
    <w:p w:rsidR="00A10DF2" w:rsidRDefault="00A10DF2" w:rsidP="00A10DF2">
      <w:pPr>
        <w:spacing w:after="0" w:line="320" w:lineRule="auto"/>
        <w:ind w:left="3" w:right="192"/>
      </w:pPr>
      <w:r>
        <w:t xml:space="preserve">Thủ trưởng các cơ quan, đơn vị, địa phương phải chịu trách nhiệm trước Chủ tịch UBND tỉnh/thành phố về kết quả thực hiện các nội dung trên. Giao Sở Thông tin và Truyền thông tổng hợp, </w:t>
      </w:r>
      <w:proofErr w:type="gramStart"/>
      <w:r>
        <w:t>theo</w:t>
      </w:r>
      <w:proofErr w:type="gramEnd"/>
      <w:r>
        <w:t xml:space="preserve"> dõi, đôn đốc tình hình triển khai và báo cáo UBND tỉnh/thành phố định kỳ và đột xuất </w:t>
      </w:r>
    </w:p>
    <w:p w:rsidR="00BB5F5C" w:rsidRDefault="00BA794C">
      <w:bookmarkStart w:id="0" w:name="_GoBack"/>
      <w:bookmarkEnd w:id="0"/>
    </w:p>
    <w:sectPr w:rsidR="00BB5F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541D"/>
    <w:multiLevelType w:val="hybridMultilevel"/>
    <w:tmpl w:val="59569916"/>
    <w:lvl w:ilvl="0" w:tplc="5238B030">
      <w:start w:val="1"/>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4A5012">
      <w:start w:val="1"/>
      <w:numFmt w:val="lowerLetter"/>
      <w:lvlText w:val="%2"/>
      <w:lvlJc w:val="left"/>
      <w:pPr>
        <w:ind w:left="1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20C154">
      <w:start w:val="1"/>
      <w:numFmt w:val="lowerRoman"/>
      <w:lvlText w:val="%3"/>
      <w:lvlJc w:val="left"/>
      <w:pPr>
        <w:ind w:left="2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6EEAB2">
      <w:start w:val="1"/>
      <w:numFmt w:val="decimal"/>
      <w:lvlText w:val="%4"/>
      <w:lvlJc w:val="left"/>
      <w:pPr>
        <w:ind w:left="3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2E791E">
      <w:start w:val="1"/>
      <w:numFmt w:val="lowerLetter"/>
      <w:lvlText w:val="%5"/>
      <w:lvlJc w:val="left"/>
      <w:pPr>
        <w:ind w:left="3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528458">
      <w:start w:val="1"/>
      <w:numFmt w:val="lowerRoman"/>
      <w:lvlText w:val="%6"/>
      <w:lvlJc w:val="left"/>
      <w:pPr>
        <w:ind w:left="4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74AAD8">
      <w:start w:val="1"/>
      <w:numFmt w:val="decimal"/>
      <w:lvlText w:val="%7"/>
      <w:lvlJc w:val="left"/>
      <w:pPr>
        <w:ind w:left="5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BE5C84">
      <w:start w:val="1"/>
      <w:numFmt w:val="lowerLetter"/>
      <w:lvlText w:val="%8"/>
      <w:lvlJc w:val="left"/>
      <w:pPr>
        <w:ind w:left="6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7A9928">
      <w:start w:val="1"/>
      <w:numFmt w:val="lowerRoman"/>
      <w:lvlText w:val="%9"/>
      <w:lvlJc w:val="left"/>
      <w:pPr>
        <w:ind w:left="6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EA0139C"/>
    <w:multiLevelType w:val="hybridMultilevel"/>
    <w:tmpl w:val="D94CDD38"/>
    <w:lvl w:ilvl="0" w:tplc="26669C0E">
      <w:start w:val="1"/>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62A4F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46A4C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98913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5AD0F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C0231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52F1A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A5B3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06C51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697200AF"/>
    <w:multiLevelType w:val="hybridMultilevel"/>
    <w:tmpl w:val="D4463C76"/>
    <w:lvl w:ilvl="0" w:tplc="E600097A">
      <w:start w:val="3"/>
      <w:numFmt w:val="decimal"/>
      <w:lvlText w:val="%1."/>
      <w:lvlJc w:val="left"/>
      <w:pPr>
        <w:ind w:left="4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CA4E4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A82312">
      <w:start w:val="1"/>
      <w:numFmt w:val="bullet"/>
      <w:lvlText w:val="▪"/>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C43704">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48CC44">
      <w:start w:val="1"/>
      <w:numFmt w:val="bullet"/>
      <w:lvlText w:val="o"/>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BE332A">
      <w:start w:val="1"/>
      <w:numFmt w:val="bullet"/>
      <w:lvlText w:val="▪"/>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C0B0C8">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90BBC4">
      <w:start w:val="1"/>
      <w:numFmt w:val="bullet"/>
      <w:lvlText w:val="o"/>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EAE112">
      <w:start w:val="1"/>
      <w:numFmt w:val="bullet"/>
      <w:lvlText w:val="▪"/>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73DE65D7"/>
    <w:multiLevelType w:val="hybridMultilevel"/>
    <w:tmpl w:val="4D0AEE4E"/>
    <w:lvl w:ilvl="0" w:tplc="EA80F5E8">
      <w:start w:val="1"/>
      <w:numFmt w:val="bullet"/>
      <w:lvlText w:val="-"/>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6A3B12">
      <w:start w:val="1"/>
      <w:numFmt w:val="bullet"/>
      <w:lvlText w:val="o"/>
      <w:lvlJc w:val="left"/>
      <w:pPr>
        <w:ind w:left="1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9487D0">
      <w:start w:val="1"/>
      <w:numFmt w:val="bullet"/>
      <w:lvlText w:val="▪"/>
      <w:lvlJc w:val="left"/>
      <w:pPr>
        <w:ind w:left="2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709B1E">
      <w:start w:val="1"/>
      <w:numFmt w:val="bullet"/>
      <w:lvlText w:val="•"/>
      <w:lvlJc w:val="left"/>
      <w:pPr>
        <w:ind w:left="3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56CC88">
      <w:start w:val="1"/>
      <w:numFmt w:val="bullet"/>
      <w:lvlText w:val="o"/>
      <w:lvlJc w:val="left"/>
      <w:pPr>
        <w:ind w:left="3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F28B4C">
      <w:start w:val="1"/>
      <w:numFmt w:val="bullet"/>
      <w:lvlText w:val="▪"/>
      <w:lvlJc w:val="left"/>
      <w:pPr>
        <w:ind w:left="4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22FA06">
      <w:start w:val="1"/>
      <w:numFmt w:val="bullet"/>
      <w:lvlText w:val="•"/>
      <w:lvlJc w:val="left"/>
      <w:pPr>
        <w:ind w:left="5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3A7C2E">
      <w:start w:val="1"/>
      <w:numFmt w:val="bullet"/>
      <w:lvlText w:val="o"/>
      <w:lvlJc w:val="left"/>
      <w:pPr>
        <w:ind w:left="6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7EDFD6">
      <w:start w:val="1"/>
      <w:numFmt w:val="bullet"/>
      <w:lvlText w:val="▪"/>
      <w:lvlJc w:val="left"/>
      <w:pPr>
        <w:ind w:left="6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F2"/>
    <w:rsid w:val="00113E2C"/>
    <w:rsid w:val="00532DDF"/>
    <w:rsid w:val="00A10DF2"/>
    <w:rsid w:val="00BA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5BEBD-D530-439B-9A81-08B63CE8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DF2"/>
    <w:pPr>
      <w:spacing w:after="116" w:line="271" w:lineRule="auto"/>
      <w:ind w:left="518" w:right="2" w:firstLine="558"/>
      <w:jc w:val="both"/>
    </w:pPr>
    <w:rPr>
      <w:rFonts w:ascii="Times New Roman" w:eastAsia="Times New Roman" w:hAnsi="Times New Roman" w:cs="Times New Roman"/>
      <w:color w:val="000000"/>
      <w:sz w:val="28"/>
    </w:rPr>
  </w:style>
  <w:style w:type="paragraph" w:styleId="Heading6">
    <w:name w:val="heading 6"/>
    <w:next w:val="Normal"/>
    <w:link w:val="Heading6Char"/>
    <w:uiPriority w:val="9"/>
    <w:unhideWhenUsed/>
    <w:qFormat/>
    <w:rsid w:val="00A10DF2"/>
    <w:pPr>
      <w:keepNext/>
      <w:keepLines/>
      <w:spacing w:after="94"/>
      <w:ind w:left="526" w:hanging="10"/>
      <w:jc w:val="center"/>
      <w:outlineLvl w:val="5"/>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DF2"/>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 Yến</dc:creator>
  <cp:keywords/>
  <dc:description/>
  <cp:lastModifiedBy>Hồng Yến</cp:lastModifiedBy>
  <cp:revision>1</cp:revision>
  <dcterms:created xsi:type="dcterms:W3CDTF">2021-05-13T06:42:00Z</dcterms:created>
  <dcterms:modified xsi:type="dcterms:W3CDTF">2021-05-13T08:23:00Z</dcterms:modified>
</cp:coreProperties>
</file>